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jc w:val="center"/>
        <w:outlineLvl w:val="1"/>
        <w:rPr>
          <w:rFonts w:ascii="Times New Roman" w:cs="Times New Roman" w:hAnsi="Times New Roman" w:eastAsia="Times New Roman"/>
          <w:b w:val="1"/>
          <w:bCs w:val="1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ПОЛИТИКА ОКАЗАНИЯ УСЛУГ ООО «РК»</w:t>
      </w:r>
    </w:p>
    <w:p>
      <w:pPr>
        <w:pStyle w:val="Normal.0"/>
        <w:spacing w:before="900" w:line="276" w:lineRule="auto"/>
        <w:jc w:val="both"/>
        <w:outlineLvl w:val="2"/>
        <w:rPr>
          <w:rFonts w:ascii="Times New Roman" w:cs="Times New Roman" w:hAnsi="Times New Roman" w:eastAsia="Times New Roman"/>
          <w:b w:val="1"/>
          <w:bCs w:val="1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1.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Общие положения</w:t>
      </w:r>
    </w:p>
    <w:p>
      <w:pPr>
        <w:pStyle w:val="Normal.0"/>
        <w:spacing w:line="276" w:lineRule="auto"/>
        <w:jc w:val="both"/>
        <w:outlineLvl w:val="2"/>
        <w:rPr>
          <w:rFonts w:ascii="Times New Roman" w:cs="Times New Roman" w:hAnsi="Times New Roman" w:eastAsia="Times New Roman"/>
          <w:b w:val="1"/>
          <w:bCs w:val="1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Настоящая Политика создана и принята ООО «РК»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далее – «Компания»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 целях установить ограничения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которым следует Компания в своей деятельности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Такие ограничения призваны исключить возможность использования продуктов и услуг Компании в незаконных или нежелательных целях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предотвращать ущерб правам и законным интересам любых лиц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организаций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государств и межгосударственных образований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Термины и определения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используемые в настоящей Политике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применяются в значении и смысле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определенных юридическими документами Компании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2.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Противодействие легализации денежных средств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полученных преступным путем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 финансированию терроризма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Компания считает для себя обязательным избегать любых случаев использования или намерений третьих лиц использовать Сервис в целях отмывания денег и ведения незаконных финансовых операций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 предотвращать такие случаи всеми доступными законными средствами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Компания твердо придерживается требований законодательства Российской Федерации в области противодействия легализации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отмыванию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доходов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полученных преступным путем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и финансированию терроризма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Федерального закона от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7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августа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2001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г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 N 115-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ФЗ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О противодействии легализации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отмыванию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доходов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полученных преступным путем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 финансированию терроризма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" 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 изменениями и дополнениями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) 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далее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Закон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 иных нормативно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правовых актов Российской Федерации в сфере противодействия легализации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отмыванию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доходов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полученных преступным путем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 финансированию терроризма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 силу действующего законодательства Компания не обязана принимать и утверждать Правила внутреннего контроля ПОД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ФТ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но при этом осуществляет некоторые меры внутреннего контроля и собственно меры ПОД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ФТ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 том числе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: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частичная идентификация физических лиц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исключительно в пределах и на основании предоставленных ими при регистрации сведений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),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частичная идентификация юридических лиц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исключительно в пределах и на основании предоставленных ими учредительных документов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),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предоставление информации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имеющейся у Компании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кредитным организациям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правоохранительным органам на основании их мотивированного письменного запроса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Кроме того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Компания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:</w:t>
      </w:r>
    </w:p>
    <w:p>
      <w:pPr>
        <w:pStyle w:val="Normal.0"/>
        <w:numPr>
          <w:ilvl w:val="0"/>
          <w:numId w:val="4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тщательно следит за тем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чтобы в работе Компании не принимали участие лица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ранее имевшие или имеющие отношение к легализации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отмыванию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доходов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полученных преступным путем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 финансированию терроризма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;</w:t>
      </w:r>
    </w:p>
    <w:p>
      <w:pPr>
        <w:pStyle w:val="Normal.0"/>
        <w:numPr>
          <w:ilvl w:val="0"/>
          <w:numId w:val="4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собственными силами и на основании собственных методик и имеющейся информации предпринимает меры по оценке степени риска той или иной операции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осуществленной с участием Компании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Компания оставляет за собой право не раскрывать полный перечень мер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принимаемых в вышеуказанных целях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Компания стремится устанавливать правоотношения преимущественно с теми Участниками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которые следуют требованиям действующего законодательства в целях ПОД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ФТ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Для банков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 которыми Компания устанавливает правоотношения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требование систематического и полномасштабного ведения работы по ПОД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ФТ обязательно в силу закона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3.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Деятельность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противоположная нормам морали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нравственности и другим общепринятым правилам поведения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Компания стремится избегать любой деятельности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 не принимать какого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либо участия в реализации товаров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работ или услуг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если эта деятельность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товары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работы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услуги противоположны нормам морали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нравственности и общепринятым правилам поведения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 тех пределах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 которых это разумно возможно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 такой деятельности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услугам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работам и товарам могут относиться наносящие вред обществу или конкретным лицам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:</w:t>
      </w:r>
    </w:p>
    <w:p>
      <w:pPr>
        <w:pStyle w:val="Normal.0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товары 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или услуги порнографического характера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кроме товаров 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или услуги порнографического характера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кроме лицензированных и разрешенных к продаже товаров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 услуг интимного характера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);</w:t>
      </w:r>
    </w:p>
    <w:p>
      <w:pPr>
        <w:pStyle w:val="Normal.0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проституция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Normal.0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работорговля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Normal.0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торговля человеческими органами и тканями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Normal.0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несанкционированные опыты объектами животного и растительного происхождения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Normal.0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любые опыты над человеком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Normal.0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деятельность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достоверно наносящая непоправимый ущерб окружающей среде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Normal.0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торговля оружием без необходимых лицензий и разрешений и с нарушениями закона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Normal.0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лицензируемые виды деятельности без наличия действующих лицензий 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или разрешений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Normal.0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лекарственные средства и медицинские препараты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биологически активные добавки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относительно которых нет достоверных сведений об их безопасности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;</w:t>
      </w:r>
    </w:p>
    <w:p>
      <w:pPr>
        <w:pStyle w:val="Normal.0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исторические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культурные ценности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музейные экспонаты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оборот которых запрещен законом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;</w:t>
      </w:r>
    </w:p>
    <w:p>
      <w:pPr>
        <w:pStyle w:val="Normal.0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запрещенные законом наркотические и психотропные вещества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виды психологически вредного воздействия на человека и животных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;</w:t>
      </w:r>
    </w:p>
    <w:p>
      <w:pPr>
        <w:pStyle w:val="Normal.0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торговля контрафактным товаром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 полными или частичными копиями зарегистрированных товарных марок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 иными нарушениями авторских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патентных или иных смежных прав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;</w:t>
      </w:r>
    </w:p>
    <w:p>
      <w:pPr>
        <w:pStyle w:val="Normal.0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благотворительность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взносы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пожертвования без лицензий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регистрации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 с нарушением закона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;</w:t>
      </w:r>
    </w:p>
    <w:p>
      <w:pPr>
        <w:pStyle w:val="Normal.0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продажа контрафактного программного обеспечения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без договора с поставщиками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дистрибьюторами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или и правообладателями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;</w:t>
      </w:r>
    </w:p>
    <w:p>
      <w:pPr>
        <w:pStyle w:val="Normal.0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продажа аудио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видео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фото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книг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картин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а также других материалов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являющихся объектами авторского права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без договоров с правообладателями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;</w:t>
      </w:r>
    </w:p>
    <w:p>
      <w:pPr>
        <w:pStyle w:val="Normal.0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все виды азартных игр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запрещенных действующим законодательством РФ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букмекерские конторы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тотализаторы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лотереи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за исключением услуг лиц и организаций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осуществляющих такую деятельность в соответствии с законодательством РФ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;</w:t>
      </w:r>
    </w:p>
    <w:p>
      <w:pPr>
        <w:pStyle w:val="Normal.0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продажа и распространение продукции и материалов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пропагандирующих насилие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межнациональную рознь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терроризм и экстремистскую деятельность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;</w:t>
      </w:r>
    </w:p>
    <w:p>
      <w:pPr>
        <w:pStyle w:val="Normal.0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товары 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или услуги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запрещенные или ограниченные в обороте законом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;</w:t>
      </w:r>
    </w:p>
    <w:p>
      <w:pPr>
        <w:pStyle w:val="Normal.0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все и любые виды деятельности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направленные на легализацию денежных средств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полученных преступным путем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 финансирование терроризма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включая уклонение от уплаты налогов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мошенническую деятельность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запрещенные виды операций с наличными и безналичными денежными средствами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ценными бумагами и иными финансовыми инструментами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Normal.0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любая несертифицированная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нелицензированная или запрещенная законом деятельность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связанная с оборотом предметов религии и культа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 том числе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религии или культа экстремистского характера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Указанный перечень не является исчерпывающим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 Компания вправе дополнять его по собственному усмотрению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4.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Меры противодействия и основания для прекращения отношений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 случае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если Компанией выявлен и зафиксирован факт причастности любого контрагента Компании к указанным видам деятельности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Компания имеет право немедленно прекратить все возможные отношения с таким контрагентом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а также требовать от других Участников прекращения отношений с ним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Участники не имеют права использовать Платформу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Сайт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Программу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факт своего участия в Экосистеме в целях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указанных выше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 случае выявления таких фактов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нарушающий Участник обязан немедленно прекратить такую деятельность и безусловно возместить другим Сторонам причиненные убытки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 том числе – прибыль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упущенную и в результате ущерба деловой репутации Сторон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 случае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если какой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либо Участник вовлечен в указанные виды деятельности или имеет к ним отношение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 это становится известно Компании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то Компания имеет право расторгнуть договор с Участником по этому основанию без каких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либо компенсаций и возмещений со своей стороны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Normal.0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Общество с ограниченной ответственностью 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"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РК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"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ИНН 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7806579019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ОГРН 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1207800158994,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расположенное по адресу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: 1191124,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г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Санкт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Петербург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вн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тер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г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Муниципальный Округ Смольнинское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ул Красного Текстильщика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д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.10-12,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литера О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помещ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 1-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212121"/>
          <w:u w:color="212121"/>
          <w:rtl w:val="0"/>
          <w14:textFill>
            <w14:solidFill>
              <w14:srgbClr w14:val="212121"/>
            </w14:solidFill>
          </w14:textFill>
        </w:rPr>
        <w:br w:type="textWrapping"/>
        <w:t>контактная информация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: e-mail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"mailto:hello@rc.company"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hello@rc.company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Генеральный директор Д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Ю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Усанов</w:t>
      </w:r>
    </w:p>
    <w:p>
      <w:pPr>
        <w:pStyle w:val="Normal.0"/>
        <w:spacing w:line="276" w:lineRule="auto"/>
        <w:jc w:val="both"/>
      </w:pP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Редакция документа по состоянию на 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06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декабря 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2022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г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b w:val="1"/>
      <w:bCs w:val="1"/>
      <w:outline w:val="0"/>
      <w:color w:val="212121"/>
      <w:u w:val="single" w:color="212121"/>
      <w14:textFill>
        <w14:solidFill>
          <w14:srgbClr w14:val="21212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 2013 – 2022">
  <a:themeElements>
    <a:clrScheme name="Тема Office 2013 – 2022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 2013 – 2022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 2013 – 2022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